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szCs w:val="22"/>
        </w:rPr>
      </w:pPr>
      <w:r>
        <w:rPr>
          <w:szCs w:val="22"/>
        </w:rPr>
        <w:tab/>
        <w:t xml:space="preserve">ve věcech technických je oprávněn jednat: Ing. Andrea Kramárová, vedoucí odboru investic             </w:t>
      </w:r>
    </w:p>
    <w:p>
      <w:pPr>
        <w:pStyle w:val="Styl11bPed6b"/>
        <w:tabs>
          <w:tab w:val="left" w:pos="709" w:leader="none"/>
        </w:tabs>
        <w:spacing w:before="0" w:after="0"/>
        <w:rPr>
          <w:szCs w:val="22"/>
        </w:rPr>
      </w:pPr>
      <w:r>
        <w:rPr>
          <w:szCs w:val="22"/>
        </w:rPr>
        <w:t xml:space="preserve">                                                                                  </w:t>
      </w:r>
      <w:r>
        <w:rPr>
          <w:szCs w:val="22"/>
        </w:rPr>
        <w:t>Ing. Lubomír Kubík,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 xml:space="preserve">PŘÍKAZNí   smlouvU  </w:t>
      </w:r>
      <w:r>
        <w:rPr>
          <w:b/>
          <w:color w:val="auto"/>
          <w:sz w:val="44"/>
          <w:szCs w:val="44"/>
        </w:rPr>
        <w:t>č</w:t>
      </w:r>
      <w:r>
        <w:rPr>
          <w:b/>
          <w:caps/>
          <w:color w:val="auto"/>
          <w:sz w:val="44"/>
          <w:szCs w:val="44"/>
        </w:rPr>
        <w:t xml:space="preserve">. </w:t>
      </w:r>
      <w:r>
        <w:rPr>
          <w:b/>
          <w:caps/>
          <w:color w:val="auto"/>
          <w:sz w:val="44"/>
          <w:szCs w:val="44"/>
          <w:highlight w:val="yellow"/>
        </w:rPr>
        <w:t>……..</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sz w:val="22"/>
          <w:szCs w:val="22"/>
        </w:rPr>
      </w:pPr>
      <w:r>
        <w:rPr>
          <w:sz w:val="22"/>
          <w:szCs w:val="22"/>
        </w:rPr>
        <w:t xml:space="preserve">Cílem této smlouvy je kontrola stavebních prací a dohlížení nad jejich prováděním prostřednictvím technického dozoru stavebníka (dále také jen „TDS“), dosažení realizace a úspěšného dokončení stavby </w:t>
      </w:r>
      <w:r>
        <w:rPr>
          <w:b/>
          <w:sz w:val="22"/>
          <w:szCs w:val="22"/>
        </w:rPr>
        <w:t>„Cyklostezka ul. Nečasova - ul. Žďárská, Nové Město na Moravě – úsek „B“ a „C““</w:t>
      </w:r>
      <w:r>
        <w:rPr>
          <w:sz w:val="22"/>
          <w:szCs w:val="22"/>
        </w:rPr>
        <w:t xml:space="preserve"> podle podmínek smlouvy o dílo uzavřené se zhotovitelem stavby a v souladu s podmínkami příslušných projektů tak, aby byly naplněny veškeré požadavky a podmínky pro úspěšné čerpání finančních podpor ve formě účelových dotací v rámci Fondu Vysočiny, program „Cyklodoprava a cykloturistika 2022“, podprogram B a MAS Zubří země, o.p.s. – IROP Cyklodoprava – (IV.) s vazbou na výzvu ŘO IROP č. 53 „Udržitelná doprava – integrované projekty CLLD“.</w:t>
      </w:r>
    </w:p>
    <w:p>
      <w:pPr>
        <w:pStyle w:val="Normal"/>
        <w:ind w:left="360" w:hanging="0"/>
        <w:jc w:val="both"/>
        <w:rPr>
          <w:sz w:val="22"/>
          <w:szCs w:val="22"/>
        </w:rPr>
      </w:pPr>
      <w:r>
        <w:rPr>
          <w:sz w:val="22"/>
          <w:szCs w:val="22"/>
        </w:rPr>
      </w:r>
    </w:p>
    <w:p>
      <w:pPr>
        <w:pStyle w:val="Normal"/>
        <w:numPr>
          <w:ilvl w:val="0"/>
          <w:numId w:val="15"/>
        </w:numPr>
        <w:jc w:val="both"/>
        <w:rPr>
          <w:sz w:val="22"/>
          <w:szCs w:val="22"/>
        </w:rPr>
      </w:pPr>
      <w:r>
        <w:rPr>
          <w:sz w:val="22"/>
          <w:szCs w:val="22"/>
        </w:rPr>
        <w:t>Finanční toky jsou řízeny podle příslušné metodiky Fondu Vysočiny a IROP. Příkazník je povinen se řídit všemi předpisy, které stanoví podmínky pro poskytnutí a čerpání finančních podpor.</w:t>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sz w:val="22"/>
          <w:szCs w:val="22"/>
        </w:rPr>
      </w:pPr>
      <w:r>
        <w:rPr>
          <w:sz w:val="22"/>
          <w:szCs w:val="22"/>
        </w:rPr>
        <w:t>provedení stavby „Cyklostezka ul. Nečasova - ul. Žďárská, Nové Město na Moravě – úsek „B“ a „C““ zhotovitelem stavby včas, řádně a kvalitně, v souladu se smlouvami o dílo uzavřenými mezi příkazcem a zhotovitelem stavby, za sjednané smluvní ceny</w:t>
      </w:r>
    </w:p>
    <w:p>
      <w:pPr>
        <w:pStyle w:val="Normal"/>
        <w:numPr>
          <w:ilvl w:val="1"/>
          <w:numId w:val="15"/>
        </w:numPr>
        <w:jc w:val="both"/>
        <w:rPr>
          <w:sz w:val="22"/>
          <w:szCs w:val="22"/>
        </w:rPr>
      </w:pPr>
      <w:r>
        <w:rPr>
          <w:sz w:val="22"/>
          <w:szCs w:val="22"/>
        </w:rPr>
        <w:t>úspěšné uvedení stavby „Cyklostezka ul. Nečasova - ul. Žďárská, Nové Město na Moravě – úsek „B“ a „C““ 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numPr>
          <w:ilvl w:val="1"/>
          <w:numId w:val="15"/>
        </w:numPr>
        <w:jc w:val="both"/>
        <w:rPr>
          <w:sz w:val="22"/>
          <w:szCs w:val="22"/>
        </w:rPr>
      </w:pPr>
      <w:r>
        <w:rPr>
          <w:sz w:val="22"/>
          <w:szCs w:val="22"/>
        </w:rPr>
        <w:t>vyplacení finanční podpory z Fondu Vysočiny a z IROP příkazci v plné výši</w:t>
      </w:r>
    </w:p>
    <w:p>
      <w:pPr>
        <w:pStyle w:val="Normal"/>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se zavazuje za podmínek dohodnutých touto smlouvou, že bude zajišťovat zastupování příkazce ve věci zajištění realizace stavby </w:t>
      </w:r>
      <w:r>
        <w:rPr>
          <w:b/>
          <w:color w:val="auto"/>
          <w:sz w:val="22"/>
          <w:szCs w:val="22"/>
        </w:rPr>
        <w:t>„Cyklostezka ul. Nečasova - ul. Žďárská, Nové Město na Moravě – úsek „B“ a „C““</w:t>
      </w:r>
      <w:r>
        <w:rPr>
          <w:color w:val="auto"/>
          <w:sz w:val="22"/>
          <w:szCs w:val="22"/>
        </w:rPr>
        <w:t xml:space="preserve"> (dále jen „stavba“), která je </w:t>
      </w:r>
      <w:r>
        <w:rPr>
          <w:bCs/>
          <w:color w:val="auto"/>
          <w:sz w:val="22"/>
          <w:szCs w:val="22"/>
        </w:rPr>
        <w:t>realizována příkazcem v rámci projektů spolufinancovaných z Fondu Vysočiny a IROP</w:t>
      </w:r>
      <w:r>
        <w:rPr>
          <w:color w:val="auto"/>
          <w:sz w:val="22"/>
          <w:szCs w:val="22"/>
        </w:rPr>
        <w:t>, podle podmínek smluv o dílo uzavřených se zhotovitelem stavby. Stavba je blíže specifikována projektovou dokumentací stavby pro provádění stavby „Cyklostezka ul. Nečasova - ul. Žďárská, Nové město na Moravě“</w:t>
      </w:r>
      <w:r>
        <w:rPr>
          <w:sz w:val="22"/>
          <w:szCs w:val="22"/>
        </w:rPr>
        <w:t xml:space="preserve"> </w:t>
      </w:r>
      <w:r>
        <w:rPr>
          <w:color w:val="auto"/>
          <w:sz w:val="22"/>
          <w:szCs w:val="22"/>
        </w:rPr>
        <w:t xml:space="preserve">vypracovanou Atelierem Halva, Dolní 38, 591 01 Žďár nad Sázavou v 08/2019 pod arch.č. 28-19-NM vč. dokladové části, resp. jejími částmi vztahujícími se k úseku „B“ a „C“ (dále jen „projektová dokumentace“). Stavba se dělí na úsek „B“ v délce 144,00 m, který je </w:t>
      </w:r>
      <w:r>
        <w:rPr>
          <w:bCs/>
          <w:color w:val="auto"/>
          <w:sz w:val="22"/>
          <w:szCs w:val="22"/>
        </w:rPr>
        <w:t>realizován příkazcem v rámci projektu spolufinancovaného z Fondu Vysočiny, program „Cyklodoprava a cykloturistika 2022“, podprogram B (ID dotace FV02831.0028)</w:t>
      </w:r>
      <w:r>
        <w:rPr>
          <w:color w:val="auto"/>
          <w:sz w:val="22"/>
          <w:szCs w:val="22"/>
        </w:rPr>
        <w:t xml:space="preserve"> a úsek „C“ v délce 308 m, který je realizován příkazcem v rámci projektu spolufinancovaného z MAS Zubří země, o.p.s. – IROP – Cyklodoprava – (VI.) s vazbou na výzvu ŘO IROP č. 53 „Udržitelná doprava – Integrované projekty CLLD“.</w:t>
      </w:r>
    </w:p>
    <w:p>
      <w:pPr>
        <w:pStyle w:val="Tlotextu"/>
        <w:rPr>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stavby</w:t>
      </w:r>
    </w:p>
    <w:p>
      <w:pPr>
        <w:pStyle w:val="Tlotextu"/>
        <w:numPr>
          <w:ilvl w:val="1"/>
          <w:numId w:val="1"/>
        </w:numPr>
        <w:spacing w:before="80" w:after="0"/>
        <w:rPr>
          <w:color w:val="auto"/>
          <w:sz w:val="22"/>
          <w:szCs w:val="22"/>
        </w:rPr>
      </w:pPr>
      <w:r>
        <w:rPr>
          <w:color w:val="auto"/>
          <w:sz w:val="22"/>
          <w:szCs w:val="22"/>
        </w:rPr>
        <w:t xml:space="preserve">činnosti v průběhu provádění stavby </w:t>
      </w:r>
    </w:p>
    <w:p>
      <w:pPr>
        <w:pStyle w:val="Tlotextu"/>
        <w:numPr>
          <w:ilvl w:val="1"/>
          <w:numId w:val="1"/>
        </w:numPr>
        <w:spacing w:before="80" w:after="0"/>
        <w:rPr>
          <w:sz w:val="22"/>
          <w:szCs w:val="22"/>
        </w:rPr>
      </w:pPr>
      <w:r>
        <w:rPr>
          <w:sz w:val="22"/>
          <w:szCs w:val="22"/>
        </w:rPr>
        <w:t>činnosti po dokončení stavby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 xml:space="preserve">Příkazník se dále zavazuje s příkazcem účinně spolupracovat při zajištění splnění veškerých požadavků a podmínek, které je příkazce povinen splnit pro úspěšné čerpání výše uvedených finančních podpor pro stavbu. </w:t>
      </w:r>
    </w:p>
    <w:p>
      <w:pPr>
        <w:pStyle w:val="Tlotextu"/>
        <w:ind w:right="-2" w:hanging="0"/>
        <w:jc w:val="left"/>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stavby.</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vydání kolaudačního souhlasu, příp. dnem odstranění poslední případné vady či nedodělku (dnem podepsání zápisu o odstranění poslední případné vady či nedodělku), příp. dnem předání posledního podkladu pro čerpání poskytnuté finanční podpory souvisejícího s realizací a dokončením stavby příkazci. Rozhodný je termín, který nastane později.</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stavby jsou ukončeny dnem zahájení stavebních prací</w:t>
      </w:r>
    </w:p>
    <w:p>
      <w:pPr>
        <w:pStyle w:val="Seznam"/>
        <w:numPr>
          <w:ilvl w:val="0"/>
          <w:numId w:val="8"/>
        </w:numPr>
        <w:jc w:val="both"/>
        <w:rPr>
          <w:sz w:val="22"/>
          <w:szCs w:val="22"/>
        </w:rPr>
      </w:pPr>
      <w:r>
        <w:rPr>
          <w:sz w:val="22"/>
          <w:szCs w:val="22"/>
        </w:rPr>
        <w:t>činnosti v průběhu provádění stavby končí dnem podpisu zápisu o předání a převzetí dokončené stavby mezi příkazcem a zhotovitelem stavby</w:t>
      </w:r>
    </w:p>
    <w:p>
      <w:pPr>
        <w:pStyle w:val="Seznam"/>
        <w:numPr>
          <w:ilvl w:val="0"/>
          <w:numId w:val="8"/>
        </w:numPr>
        <w:jc w:val="both"/>
        <w:rPr>
          <w:sz w:val="22"/>
          <w:szCs w:val="22"/>
        </w:rPr>
      </w:pPr>
      <w:r>
        <w:rPr>
          <w:sz w:val="22"/>
          <w:szCs w:val="22"/>
        </w:rPr>
        <w:t>činnosti po dokončení stavby končí dnem vydání kolaudačního souhlasu, příp. dnem odstranění poslední případné vady či nedodělku (dnem podepsání zápisu o odstranění poslední případné vady či nedodělku), příp. dnem předání posledního podkladu pro čerpání poskytnuté finanční podpory souvisejícího s realizací a dokončením stavby příkazci. Rozhodný je termín, který nastane později.</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povolení stavby,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highlight w:val="none"/>
          <w:shd w:fill="auto" w:val="clear"/>
        </w:rPr>
      </w:pPr>
      <w:r>
        <w:rPr>
          <w:sz w:val="22"/>
          <w:szCs w:val="22"/>
          <w:shd w:fill="auto" w:val="clear"/>
        </w:rPr>
        <w:t>zahájení stavby:</w:t>
        <w:tab/>
        <w:t>práce mohou být zahájeny nejdříve v 1. pol. března 2023</w:t>
      </w:r>
    </w:p>
    <w:p>
      <w:pPr>
        <w:pStyle w:val="Seznam"/>
        <w:numPr>
          <w:ilvl w:val="1"/>
          <w:numId w:val="2"/>
        </w:numPr>
        <w:spacing w:before="80" w:after="0"/>
        <w:rPr>
          <w:highlight w:val="none"/>
          <w:shd w:fill="auto" w:val="clear"/>
        </w:rPr>
      </w:pPr>
      <w:r>
        <w:rPr>
          <w:sz w:val="22"/>
          <w:szCs w:val="22"/>
          <w:shd w:fill="auto" w:val="clear"/>
        </w:rPr>
        <w:t xml:space="preserve">dokončení stavby: </w:t>
        <w:tab/>
        <w:t>celé dílo musí být dokončeno nejpozději do 29.09.2023</w:t>
      </w:r>
    </w:p>
    <w:p>
      <w:pPr>
        <w:pStyle w:val="Tlotextu"/>
        <w:ind w:left="357" w:hanging="0"/>
        <w:rPr>
          <w:highlight w:val="none"/>
          <w:shd w:fill="auto" w:val="clear"/>
        </w:rPr>
      </w:pPr>
      <w:r>
        <w:rPr>
          <w:color w:val="000000"/>
          <w:sz w:val="22"/>
          <w:szCs w:val="22"/>
          <w:shd w:fill="auto" w:val="clear"/>
        </w:rPr>
        <w:t>přičemž provádění prací musí respektovat podmínky pro zimování a líhnutí raků (blíže viz rozhodnutí SCHKO z 01.08.2022 v dokladové části).</w:t>
      </w:r>
    </w:p>
    <w:p>
      <w:pPr>
        <w:pStyle w:val="Tlotextu"/>
        <w:ind w:left="357" w:hanging="0"/>
        <w:rPr>
          <w:color w:val="auto"/>
          <w:sz w:val="22"/>
          <w:szCs w:val="22"/>
        </w:rPr>
      </w:pPr>
      <w:r>
        <w:rPr>
          <w:color w:val="auto"/>
          <w:sz w:val="22"/>
          <w:szCs w:val="22"/>
        </w:rPr>
      </w:r>
    </w:p>
    <w:p>
      <w:pPr>
        <w:pStyle w:val="Tlotextu"/>
        <w:numPr>
          <w:ilvl w:val="0"/>
          <w:numId w:val="2"/>
        </w:numPr>
        <w:rPr>
          <w:color w:val="auto"/>
          <w:sz w:val="22"/>
          <w:szCs w:val="22"/>
        </w:rPr>
      </w:pPr>
      <w:r>
        <w:rPr>
          <w:color w:val="auto"/>
          <w:sz w:val="22"/>
          <w:szCs w:val="22"/>
        </w:rPr>
        <w:t>Dojde-li při realizaci stavby k prodloužení doby realizace stavby oproti původně předpokládané době realizace stavby uvedené v čl. 3, odst. 4 této smlouvy  zavazuje se příkazník provádět pro příkazce práce a činnosti dle této smlouvy i po celou dobu prodloužení doby realizace stavby. V případě prodloužení doby realizace stavby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5 této smlouvy </w:t>
      </w:r>
      <w:r>
        <w:rPr>
          <w:b/>
          <w:color w:val="auto"/>
          <w:sz w:val="22"/>
          <w:szCs w:val="22"/>
        </w:rPr>
        <w:t xml:space="preserve">odměnu v celkové výši </w:t>
      </w:r>
      <w:r>
        <w:rPr>
          <w:b/>
          <w:color w:val="auto"/>
          <w:sz w:val="22"/>
          <w:szCs w:val="22"/>
          <w:highlight w:val="yellow"/>
        </w:rPr>
        <w:t>…………..,--</w:t>
      </w:r>
      <w:r>
        <w:rPr>
          <w:b/>
          <w:color w:val="auto"/>
          <w:sz w:val="22"/>
          <w:szCs w:val="22"/>
        </w:rPr>
        <w:t xml:space="preserve"> Kč bez</w:t>
      </w:r>
      <w:commentRangeStart w:id="2"/>
      <w:r>
        <w:rPr>
          <w:b/>
          <w:color w:val="auto"/>
          <w:sz w:val="22"/>
          <w:szCs w:val="22"/>
        </w:rPr>
        <w:t xml:space="preserve"> DPH</w:t>
      </w:r>
      <w:r>
        <w:rPr>
          <w:b/>
          <w:color w:val="auto"/>
          <w:sz w:val="22"/>
          <w:szCs w:val="22"/>
        </w:rPr>
      </w:r>
      <w:commentRangeEnd w:id="2"/>
      <w:r>
        <w:commentReference w:id="2"/>
      </w:r>
      <w:r>
        <w:rPr>
          <w:color w:val="auto"/>
          <w:sz w:val="22"/>
          <w:szCs w:val="22"/>
        </w:rPr>
        <w:t xml:space="preserve">. </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rPr>
          <w:sz w:val="22"/>
          <w:szCs w:val="22"/>
        </w:rPr>
      </w:pPr>
      <w:r>
        <w:rPr>
          <w:sz w:val="22"/>
          <w:szCs w:val="22"/>
        </w:rPr>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stavby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stavby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po dokončení stavby ve výši                  </w:t>
        <w:tab/>
      </w:r>
      <w:r>
        <w:rPr>
          <w:color w:val="auto"/>
          <w:sz w:val="22"/>
          <w:szCs w:val="22"/>
          <w:highlight w:val="yellow"/>
        </w:rPr>
        <w:t>00.000,--</w:t>
      </w:r>
      <w:r>
        <w:rPr>
          <w:color w:val="auto"/>
          <w:sz w:val="22"/>
          <w:szCs w:val="22"/>
        </w:rPr>
        <w:t xml:space="preserve"> Kč bez DPH</w:t>
      </w:r>
    </w:p>
    <w:p>
      <w:pPr>
        <w:pStyle w:val="Tlotextu"/>
        <w:ind w:firstLine="357"/>
        <w:rPr>
          <w:color w:val="auto"/>
          <w:sz w:val="22"/>
          <w:szCs w:val="22"/>
        </w:rPr>
      </w:pPr>
      <w:r>
        <w:rPr>
          <w:color w:val="auto"/>
          <w:sz w:val="22"/>
          <w:szCs w:val="22"/>
        </w:rPr>
      </w:r>
    </w:p>
    <w:p>
      <w:pPr>
        <w:pStyle w:val="Tlotextu"/>
        <w:numPr>
          <w:ilvl w:val="0"/>
          <w:numId w:val="3"/>
        </w:numPr>
        <w:tabs>
          <w:tab w:val="clear" w:pos="709"/>
        </w:tabs>
        <w:rPr>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předpisů</w:t>
      </w:r>
      <w:r>
        <w:rPr>
          <w:color w:val="auto"/>
          <w:sz w:val="22"/>
          <w:szCs w:val="22"/>
          <w:highlight w:val="yellow"/>
        </w:rPr>
      </w:r>
      <w:commentRangeEnd w:id="3"/>
      <w:r>
        <w:commentReference w:id="3"/>
      </w:r>
      <w:r>
        <w:rPr>
          <w:color w:val="auto"/>
          <w:sz w:val="22"/>
          <w:szCs w:val="22"/>
          <w:highlight w:val="yellow"/>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6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stavby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stavby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stavby. </w:t>
      </w:r>
    </w:p>
    <w:p>
      <w:pPr>
        <w:pStyle w:val="Tlotextu"/>
        <w:numPr>
          <w:ilvl w:val="1"/>
          <w:numId w:val="6"/>
        </w:numPr>
        <w:spacing w:before="80" w:after="0"/>
        <w:rPr>
          <w:color w:val="auto"/>
          <w:sz w:val="22"/>
          <w:szCs w:val="22"/>
        </w:rPr>
      </w:pPr>
      <w:r>
        <w:rPr>
          <w:color w:val="auto"/>
          <w:sz w:val="22"/>
          <w:szCs w:val="22"/>
        </w:rPr>
        <w:t xml:space="preserve">odměna za činnosti po dokončení stavby bude uhrazena po </w:t>
      </w:r>
      <w:r>
        <w:rPr>
          <w:sz w:val="22"/>
          <w:szCs w:val="22"/>
        </w:rPr>
        <w:t>vydání kolaudačního souhlasu, nebo po odstranění poslední případné vady či nedodělku (po dni podepsání zápisu o odstranění poslední případné vady či nedodělku), nebo po předání posledního podkladu pro čerpání poskytnuté finanční podpory souvisejícího s realizací a dokončením stavby příkazci. Rozhodný je termín, který nastane později.</w:t>
      </w:r>
      <w:r>
        <w:rPr>
          <w:color w:val="auto"/>
          <w:sz w:val="22"/>
          <w:szCs w:val="22"/>
        </w:rPr>
        <w:t xml:space="preserve"> </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 xml:space="preserve">Pokud k datu uskutečnění zdanitelného plnění budou u </w:t>
      </w:r>
      <w:commentRangeStart w:id="4"/>
      <w:r>
        <w:rPr>
          <w:color w:val="auto"/>
          <w:sz w:val="22"/>
          <w:szCs w:val="22"/>
        </w:rPr>
        <w:t>příkazníka</w:t>
      </w:r>
      <w:r>
        <w:rPr>
          <w:color w:val="auto"/>
          <w:sz w:val="22"/>
          <w:szCs w:val="22"/>
        </w:rPr>
      </w:r>
      <w:commentRangeEnd w:id="4"/>
      <w:r>
        <w:commentReference w:id="4"/>
      </w:r>
      <w:r>
        <w:rPr>
          <w:color w:val="auto"/>
          <w:sz w:val="22"/>
          <w:szCs w:val="22"/>
        </w:rPr>
        <w:t xml:space="preserve">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p>
    <w:p>
      <w:pPr>
        <w:pStyle w:val="Tlotextu"/>
        <w:rPr>
          <w:b/>
          <w:b/>
          <w:color w:val="auto"/>
          <w:sz w:val="22"/>
          <w:szCs w:val="22"/>
        </w:rPr>
      </w:pPr>
      <w:r>
        <w:rPr>
          <w:b/>
          <w:color w:val="auto"/>
          <w:sz w:val="22"/>
          <w:szCs w:val="22"/>
        </w:rPr>
      </w:r>
    </w:p>
    <w:p>
      <w:pPr>
        <w:pStyle w:val="Tlotextu"/>
        <w:rPr>
          <w:b/>
          <w:b/>
          <w:sz w:val="22"/>
          <w:szCs w:val="22"/>
        </w:rPr>
      </w:pPr>
      <w:r>
        <w:rPr>
          <w:b/>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 stavby mezi příkazcem a zhotovitelem stavby,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stavby, nebo</w:t>
      </w:r>
    </w:p>
    <w:p>
      <w:pPr>
        <w:pStyle w:val="Tlotextu"/>
        <w:ind w:firstLine="357"/>
        <w:rPr>
          <w:color w:val="auto"/>
          <w:sz w:val="22"/>
          <w:szCs w:val="22"/>
        </w:rPr>
      </w:pPr>
      <w:r>
        <w:rPr>
          <w:color w:val="auto"/>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provedena řádně, je povinen zaplatit příkazci smluvní pokutu ve výši 500,-- Kč za každou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stavby</w:t>
      </w:r>
    </w:p>
    <w:p>
      <w:pPr>
        <w:pStyle w:val="Tlotextu"/>
        <w:jc w:val="center"/>
        <w:rPr>
          <w:b/>
          <w:b/>
          <w:sz w:val="22"/>
          <w:szCs w:val="22"/>
        </w:rPr>
      </w:pPr>
      <w:r>
        <w:rPr>
          <w:b/>
          <w:sz w:val="22"/>
          <w:szCs w:val="22"/>
        </w:rPr>
      </w:r>
    </w:p>
    <w:p>
      <w:pPr>
        <w:pStyle w:val="Tlotextu"/>
        <w:numPr>
          <w:ilvl w:val="0"/>
          <w:numId w:val="9"/>
        </w:numPr>
        <w:rPr>
          <w:color w:val="auto"/>
          <w:sz w:val="22"/>
          <w:szCs w:val="22"/>
        </w:rPr>
      </w:pPr>
      <w:r>
        <w:rPr>
          <w:sz w:val="22"/>
          <w:szCs w:val="22"/>
        </w:rPr>
        <w:t xml:space="preserve">Pro účely kontroly průběhu provádění stavby organizuje příkazník ve spolupráci se zhotovitelem stavby kontrolní dny v termínech nezbytných pro řádné provádění kontroly, </w:t>
      </w:r>
      <w:r>
        <w:rPr>
          <w:color w:val="auto"/>
          <w:sz w:val="22"/>
          <w:szCs w:val="22"/>
        </w:rPr>
        <w:t>nejméně však 1x za 2 týdny,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stavby je občasný, tj. v průběhu provádění stavby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stavby.</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stavby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stavby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průběžné kontroly zaznamenávání změn jako podkladu pro zpracovávání dokumentace skutečného provedení stavby, příp. změn prováděcí projektové dokumentace</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plnění věcného harmonogramu v souladu s PD</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v rámci své kontrolní činnosti kontroluje rovněž dodržování podmínek rozhodnutí a stanovisek dotčených orgánů a organizací.</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stavby a jejích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stavby, jíž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stavby,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stavby. Příkazník v tomto smyslu prohlašuje, že není osobou spojenou se zhotovitelem stavby.</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stavby.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stavby pořizovat fotodokumentaci realizace stavby vč. videozáznamů, a to zejména za účelem doložení dodržení podmínek provedení díla, doložení dodržení dotačních podmínek,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Zkladntext21"/>
        <w:ind w:left="357" w:hanging="0"/>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prováděná stavba je financována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je uzavřena v souladu s usnesením Rady města Nové Město na Moravě přijatým na její 55. schůzi dne 11.06.2018 pod bodem 38/55/RM/2018.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pozbývá platnosti a účinnosti, pokud stavba nebude zahájena do 31.12.2024.</w:t>
      </w:r>
    </w:p>
    <w:p>
      <w:pPr>
        <w:pStyle w:val="Zkladntext21"/>
        <w:jc w:val="both"/>
        <w:rPr>
          <w:sz w:val="22"/>
          <w:szCs w:val="22"/>
        </w:rPr>
      </w:pPr>
      <w:r>
        <w:rPr>
          <w:sz w:val="22"/>
          <w:szCs w:val="22"/>
        </w:rPr>
      </w:r>
    </w:p>
    <w:p>
      <w:pPr>
        <w:pStyle w:val="Tlotextu"/>
        <w:numPr>
          <w:ilvl w:val="0"/>
          <w:numId w:val="5"/>
        </w:numPr>
        <w:rPr>
          <w:color w:val="auto"/>
          <w:sz w:val="22"/>
          <w:szCs w:val="22"/>
        </w:rPr>
      </w:pPr>
      <w:r>
        <w:rPr>
          <w:color w:val="auto"/>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19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Za příkazce:</w:t>
        <w:tab/>
        <w:t>Za příkazníka:</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4"/>
          <w:szCs w:val="24"/>
        </w:rPr>
      </w:pPr>
      <w:r>
        <w:rPr>
          <w:sz w:val="24"/>
          <w:szCs w:val="24"/>
        </w:rPr>
      </w:r>
    </w:p>
    <w:p>
      <w:pPr>
        <w:pStyle w:val="Normal"/>
        <w:tabs>
          <w:tab w:val="clear" w:pos="709"/>
          <w:tab w:val="left" w:pos="4962" w:leader="none"/>
        </w:tabs>
        <w:jc w:val="both"/>
        <w:rPr>
          <w:sz w:val="22"/>
          <w:szCs w:val="22"/>
        </w:rPr>
      </w:pPr>
      <w:r>
        <w:rPr>
          <w:sz w:val="22"/>
          <w:szCs w:val="22"/>
        </w:rPr>
        <w:t>……………………………………</w:t>
      </w:r>
      <w:r>
        <w:rPr>
          <w:sz w:val="22"/>
          <w:szCs w:val="22"/>
        </w:rPr>
        <w:tab/>
        <w:t>……………………………………</w:t>
      </w:r>
    </w:p>
    <w:p>
      <w:pPr>
        <w:pStyle w:val="Normal"/>
        <w:tabs>
          <w:tab w:val="clear" w:pos="709"/>
          <w:tab w:val="center" w:pos="1701" w:leader="none"/>
          <w:tab w:val="left" w:pos="4962" w:leader="none"/>
          <w:tab w:val="center" w:pos="6663" w:leader="none"/>
        </w:tabs>
        <w:jc w:val="both"/>
        <w:rPr>
          <w:sz w:val="22"/>
          <w:szCs w:val="22"/>
        </w:rPr>
      </w:pPr>
      <w:r>
        <w:rPr>
          <w:sz w:val="22"/>
          <w:szCs w:val="22"/>
        </w:rPr>
        <w:t xml:space="preserve">              </w:t>
      </w:r>
      <w:r>
        <w:rPr>
          <w:sz w:val="22"/>
          <w:szCs w:val="22"/>
        </w:rPr>
        <w:t>Michal Šmarda</w:t>
        <w:tab/>
        <w:t xml:space="preserve">         </w:t>
      </w:r>
      <w:r>
        <w:rPr>
          <w:sz w:val="22"/>
          <w:szCs w:val="22"/>
          <w:highlight w:val="yellow"/>
        </w:rPr>
        <w:t>……………………..</w:t>
      </w:r>
    </w:p>
    <w:p>
      <w:pPr>
        <w:pStyle w:val="Normal"/>
        <w:tabs>
          <w:tab w:val="clear" w:pos="709"/>
          <w:tab w:val="center" w:pos="1701" w:leader="none"/>
          <w:tab w:val="left" w:pos="4962" w:leader="none"/>
          <w:tab w:val="center" w:pos="6663" w:leader="none"/>
        </w:tabs>
        <w:rPr>
          <w:sz w:val="22"/>
          <w:szCs w:val="22"/>
        </w:rPr>
      </w:pPr>
      <w:r>
        <w:rPr>
          <w:sz w:val="22"/>
          <w:szCs w:val="22"/>
        </w:rPr>
        <w:t xml:space="preserve">                  </w:t>
      </w:r>
      <w:r>
        <w:rPr>
          <w:sz w:val="22"/>
          <w:szCs w:val="22"/>
        </w:rPr>
        <w:t>starosta</w:t>
        <w:tab/>
        <w:t xml:space="preserve">                                                               </w:t>
      </w:r>
      <w:r>
        <w:rPr>
          <w:sz w:val="22"/>
          <w:szCs w:val="22"/>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Tlotextu"/>
        <w:keepNext w:val="true"/>
        <w:numPr>
          <w:ilvl w:val="0"/>
          <w:numId w:val="0"/>
        </w:numPr>
        <w:ind w:left="1410" w:hanging="1410"/>
        <w:outlineLvl w:val="0"/>
        <w:rPr/>
      </w:pPr>
      <w:r>
        <w:rPr/>
      </w:r>
    </w:p>
    <w:sectPr>
      <w:footerReference w:type="even" r:id="rId2"/>
      <w:footerReference w:type="default" r:id="rId3"/>
      <w:footerReference w:type="first" r:id="rId4"/>
      <w:type w:val="nextPage"/>
      <w:pgSz w:w="11906" w:h="16838"/>
      <w:pgMar w:left="1418" w:right="1418" w:gutter="0" w:header="0" w:top="1134" w:footer="709" w:bottom="1134"/>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1-01-25T16:5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odst.2 tohoto článku.</w:t>
      </w:r>
    </w:p>
    <w:p>
      <w:r>
        <w:rPr>
          <w:rFonts w:ascii="Liberation Serif" w:hAnsi="Liberation Serif" w:eastAsia="Segoe UI" w:cs="Tahoma"/>
          <w:sz w:val="24"/>
          <w:szCs w:val="24"/>
          <w:lang w:val="en-US" w:eastAsia="en-US" w:bidi="en-US"/>
        </w:rPr>
        <w:t>(tento komentář prosím vymažte)</w:t>
      </w:r>
    </w:p>
  </w:comment>
  <w:comment w:id="3" w:author="urad5" w:date="2021-01-26T10:13:00Z" w:initials="u">
    <w:p>
      <w:r>
        <w:rPr>
          <w:rFonts w:ascii="Liberation Serif" w:hAnsi="Liberation Serif" w:eastAsia="Segoe UI" w:cs="Tahoma"/>
          <w:sz w:val="24"/>
          <w:szCs w:val="24"/>
          <w:lang w:val="en-US" w:eastAsia="en-US" w:bidi="en-US"/>
        </w:rPr>
        <w:t>Ponechte pouze odpovídajíc část textu podle toho,zda jste či nejste plátcem DPH.</w:t>
      </w:r>
    </w:p>
    <w:p>
      <w:r>
        <w:rPr>
          <w:rFonts w:ascii="Liberation Serif" w:hAnsi="Liberation Serif" w:eastAsia="Segoe UI" w:cs="Tahoma"/>
          <w:sz w:val="24"/>
          <w:szCs w:val="24"/>
          <w:lang w:val="en-US" w:eastAsia="en-US" w:bidi="en-US"/>
        </w:rPr>
        <w:t>(tento komentář prosím vymažte)</w:t>
      </w:r>
    </w:p>
  </w:comment>
  <w:comment w:id="4" w:author="urad5" w:date="2018-11-16T09:18: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18-11-16T09:25: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49.999,99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18-11-16T09:25: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swiss"/>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Rámec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sz w:val="20"/>
        <w:szCs w:val="20"/>
      </w:rPr>
    </w:pPr>
    <w:r>
      <w:rPr>
        <w:sz w:val="20"/>
        <w:szCs w:val="20"/>
      </w:rPr>
      <w:t>TDS Cyklostezka Nečasova - Žďárská – ús. B a C</w:t>
    </w:r>
    <w:r>
      <mc:AlternateContent>
        <mc:Choice Requires="wps">
          <w:drawing>
            <wp:anchor behindDoc="0" distT="0" distB="0" distL="0" distR="0" simplePos="0" locked="0" layoutInCell="0" allowOverlap="1" relativeHeight="12">
              <wp:simplePos x="0" y="0"/>
              <wp:positionH relativeFrom="margin">
                <wp:align>center</wp:align>
              </wp:positionH>
              <wp:positionV relativeFrom="paragraph">
                <wp:posOffset>635</wp:posOffset>
              </wp:positionV>
              <wp:extent cx="153035" cy="175260"/>
              <wp:effectExtent l="0" t="0" r="0" b="0"/>
              <wp:wrapSquare wrapText="bothSides"/>
              <wp:docPr id="2" name="Rámec2"/>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11</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2.05pt;height:13.8pt;mso-wrap-distance-left:0pt;mso-wrap-distance-right:0pt;mso-wrap-distance-top:0pt;mso-wrap-distance-bottom:0pt;margin-top:0.05pt;mso-position-vertical-relative:text;margin-left:220.75pt;mso-position-horizontal:center;mso-position-horizontal-relative:margin">
              <v:fill opacity="0f"/>
              <v:textbox inset="0in,0in,0in,0in">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11</w:t>
                    </w:r>
                    <w:r>
                      <w:rPr>
                        <w:rStyle w:val="Pagenumber"/>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sz w:val="20"/>
        <w:szCs w:val="20"/>
      </w:rPr>
    </w:pPr>
    <w:r>
      <w:rPr>
        <w:sz w:val="20"/>
        <w:szCs w:val="20"/>
      </w:rPr>
      <w:t>TDS Cyklostezka Nečasova - Žďárská – ús. B a C</w:t>
    </w:r>
    <w:r>
      <mc:AlternateContent>
        <mc:Choice Requires="wps">
          <w:drawing>
            <wp:anchor behindDoc="0" distT="0" distB="0" distL="0" distR="0" simplePos="0" locked="0" layoutInCell="0" allowOverlap="1" relativeHeight="12">
              <wp:simplePos x="0" y="0"/>
              <wp:positionH relativeFrom="margin">
                <wp:align>center</wp:align>
              </wp:positionH>
              <wp:positionV relativeFrom="paragraph">
                <wp:posOffset>635</wp:posOffset>
              </wp:positionV>
              <wp:extent cx="153035" cy="175260"/>
              <wp:effectExtent l="0" t="0" r="0" b="0"/>
              <wp:wrapSquare wrapText="bothSides"/>
              <wp:docPr id="3" name="Rámec2"/>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11</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2.05pt;height:13.8pt;mso-wrap-distance-left:0pt;mso-wrap-distance-right:0pt;mso-wrap-distance-top:0pt;mso-wrap-distance-bottom:0pt;margin-top:0.05pt;mso-position-vertical-relative:text;margin-left:220.75pt;mso-position-horizontal:center;mso-position-horizontal-relative:margin">
              <v:fill opacity="0f"/>
              <v:textbox inset="0in,0in,0in,0in">
                <w:txbxContent>
                  <w:p>
                    <w:pPr>
                      <w:pStyle w:val="Zpat"/>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11</w:t>
                    </w:r>
                    <w:r>
                      <w:rPr>
                        <w:rStyle w:val="Pagenumber"/>
                      </w:rPr>
                      <w:fldChar w:fldCharType="end"/>
                    </w:r>
                  </w:p>
                </w:txbxContent>
              </v:textbox>
              <w10:wrap type="squar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57"/>
        </w:tabs>
        <w:ind w:left="357" w:hanging="357"/>
      </w:pPr>
      <w:rPr>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720" w:hanging="363"/>
      </w:pPr>
    </w:lvl>
    <w:lvl w:ilvl="2">
      <w:start w:val="1"/>
      <w:numFmt w:val="bullet"/>
      <w:lvlText w:val=""/>
      <w:lvlJc w:val="left"/>
      <w:pPr>
        <w:tabs>
          <w:tab w:val="num" w:pos="2160"/>
        </w:tabs>
        <w:ind w:left="1077" w:hanging="357"/>
      </w:pPr>
      <w:rPr>
        <w:rFonts w:ascii="Symbol" w:hAnsi="Symbol" w:cs="Symbol"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9">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decimal"/>
      <w:lvlText w:val="%1."/>
      <w:lvlJc w:val="left"/>
      <w:pPr>
        <w:tabs>
          <w:tab w:val="num" w:pos="720"/>
        </w:tabs>
        <w:ind w:left="720" w:hanging="360"/>
      </w:pPr>
    </w:lvl>
    <w:lvl w:ilvl="1">
      <w:start w:val="0"/>
      <w:numFmt w:val="bullet"/>
      <w:lvlText w:val="-"/>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link w:val="Textkomente"/>
    <w:qFormat/>
    <w:locked/>
    <w:rsid w:val="00cd127c"/>
    <w:rPr>
      <w:lang w:val="cs-CZ" w:eastAsia="cs-CZ" w:bidi="ar-SA"/>
    </w:rPr>
  </w:style>
  <w:style w:type="character" w:styleId="Slovndk">
    <w:name w:val="Číslování řádků"/>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lang w:val="zxx" w:eastAsia="zxx" w:bidi="zxx"/>
    </w:rPr>
  </w:style>
  <w:style w:type="paragraph" w:styleId="Seznam2">
    <w:name w:val="List Bullet 3"/>
    <w:basedOn w:val="Normal"/>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comments" Target="comment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FACA75-611D-42EF-8D03-7FBD9D32F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90</TotalTime>
  <Application>LibreOffice/7.2.7.2$Windows_X86_64 LibreOffice_project/8d71d29d553c0f7dcbfa38fbfda25ee34cce99a2</Application>
  <AppVersion>15.0000</AppVersion>
  <Pages>11</Pages>
  <Words>4313</Words>
  <Characters>24850</Characters>
  <CharactersWithSpaces>29339</CharactersWithSpaces>
  <Paragraphs>206</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2022-11-28T09:55:00Z</dcterms:created>
  <dc:creator>ing. Jaroslav Dufek</dc:creator>
  <dc:description/>
  <dc:language>cs-CZ</dc:language>
  <cp:lastModifiedBy/>
  <cp:lastPrinted>2013-04-22T13:00:00Z</cp:lastPrinted>
  <dcterms:modified xsi:type="dcterms:W3CDTF">2023-02-08T11:02:55Z</dcterms:modified>
  <cp:revision>28</cp:revision>
  <dc:subject/>
  <dc:title>MANDÁTNÍ SMLOUVA č</dc:title>
</cp:coreProperties>
</file>

<file path=docProps/custom.xml><?xml version="1.0" encoding="utf-8"?>
<Properties xmlns="http://schemas.openxmlformats.org/officeDocument/2006/custom-properties" xmlns:vt="http://schemas.openxmlformats.org/officeDocument/2006/docPropsVTypes"/>
</file>